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color w:val="373737"/>
          <w:spacing w:val="-2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373737"/>
          <w:spacing w:val="-20"/>
          <w:kern w:val="0"/>
          <w:sz w:val="44"/>
          <w:szCs w:val="44"/>
          <w:lang w:eastAsia="zh-CN"/>
        </w:rPr>
        <w:t>关于</w:t>
      </w:r>
      <w:r>
        <w:rPr>
          <w:rFonts w:hint="eastAsia" w:ascii="黑体" w:hAnsi="黑体" w:eastAsia="黑体" w:cs="黑体"/>
          <w:color w:val="373737"/>
          <w:spacing w:val="-20"/>
          <w:kern w:val="0"/>
          <w:sz w:val="44"/>
          <w:szCs w:val="44"/>
        </w:rPr>
        <w:t>举办</w:t>
      </w:r>
      <w:r>
        <w:rPr>
          <w:rFonts w:hint="eastAsia" w:ascii="黑体" w:hAnsi="黑体" w:eastAsia="黑体" w:cs="黑体"/>
          <w:color w:val="373737"/>
          <w:spacing w:val="-20"/>
          <w:kern w:val="0"/>
          <w:sz w:val="44"/>
          <w:szCs w:val="44"/>
          <w:lang w:val="en-US" w:eastAsia="zh-CN"/>
        </w:rPr>
        <w:t>齐鲁工业大学首届“班级文化节”之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黑体" w:hAnsi="黑体" w:eastAsia="黑体" w:cs="黑体"/>
          <w:color w:val="373737"/>
          <w:spacing w:val="-20"/>
          <w:kern w:val="0"/>
          <w:sz w:val="44"/>
          <w:szCs w:val="44"/>
          <w:lang w:val="en-US" w:eastAsia="zh-CN"/>
        </w:rPr>
        <w:t>班级趣味运动会</w:t>
      </w:r>
      <w:r>
        <w:rPr>
          <w:rFonts w:hint="eastAsia" w:ascii="黑体" w:hAnsi="黑体" w:eastAsia="黑体" w:cs="黑体"/>
          <w:color w:val="373737"/>
          <w:spacing w:val="-20"/>
          <w:kern w:val="0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-SA"/>
        </w:rPr>
        <w:t>各学院（部）：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为进一步加强基层组织建设，丰富同学们的第二课堂，营造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积极奋发、朝气蓬勃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的班级生态环境，塑造积极向上的班级文化，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增强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我校班级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</w:rPr>
        <w:t>的集体荣誉感和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班级凝聚力，打造班级核心竞争力，经研究决定，在全校组织开展第一届“班级文化节系列活动之班级趣味运动会”活动。具体要求通知如下：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  <w:t>、主办单位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  <w:t>齐鲁工业大学学生工作部（处）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  <w:t>、承办单位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  <w:t>材料科学与工程学院学生工作办公室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  <w:t>共青团材料科学与工程学院委员会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活动内容及规则（见附件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>姜太公钓鱼、跳大绳、滚雪球、定点投篮、七人八足、拔河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  <w:t>、活动时间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201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</w:rPr>
        <w:t>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8：00-12：00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  <w:t>活动地点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eastAsia="zh-CN"/>
        </w:rPr>
        <w:t>齐鲁工业大学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/>
        </w:rPr>
        <w:t>篮球场（西侧）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eastAsia="zh-CN"/>
        </w:rPr>
        <w:t>六、活动对象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>以我校自然班级为单位参赛，参加本次赛事的学生必须来自同一班级，请各学院严格按要求参加比赛，一经发现弄虚作假，将取消比赛资格。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报名方式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4月6日18：00之前，请各学院活动负责人将报名表（见附表2）纸质版送至轻化楼B座301室，电子版发送至邮箱wzm1996@163.com。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zh-CN"/>
        </w:rPr>
        <w:t>、奖项设置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团体一等奖：二名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团体二等奖：四名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团体三等奖：六名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8"/>
          <w:szCs w:val="28"/>
          <w:lang w:val="en-US" w:eastAsia="zh-CN"/>
        </w:rPr>
        <w:t xml:space="preserve"> 九、活动负责人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李海明老师：13853119848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吴再猛：17862963340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吕晋妤：17862973480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蔡立彬：17862961742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center" w:pos="91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9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center" w:pos="918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98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  <w:t>齐鲁工业大学学生工作部（处）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lang w:eastAsia="zh-CN"/>
        </w:rPr>
        <w:t>共青团材料科学与工程学院委员会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78" w:firstLineChars="212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2016年3月31日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6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  <w:t xml:space="preserve">附件1：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姜太公钓鱼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比赛人员及分组：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8人（四男四女）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比赛距离：篮球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半场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比赛规则：</w:t>
      </w:r>
    </w:p>
    <w:p>
      <w:pPr>
        <w:pStyle w:val="7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（1）于起点处原地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大象鼻子转十圈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后冲向放瓶子的地点并将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挂有铅笔的绳子系在参赛者腰间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>
      <w:pPr>
        <w:pStyle w:val="7"/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（2）将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系有铅笔的部分作为尾巴冲着背后，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空瓶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位于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身体后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侧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，弯下腰从胯下观察瓶口。参赛选手扭动臀部使铅笔进入空瓶之后，提起瓶子（瓶子在空中悬停3秒）即成功，直到最后一个人成功时计时结束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</w:p>
    <w:p>
      <w:pPr>
        <w:pStyle w:val="7"/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（3）选手不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能用手或其他部位辅助，否则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为违规，每有一次违规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在最终成绩上加10秒。</w:t>
      </w:r>
    </w:p>
    <w:p>
      <w:pPr>
        <w:pStyle w:val="7"/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kern w:val="2"/>
          <w:sz w:val="28"/>
          <w:szCs w:val="28"/>
          <w:lang w:val="en-US" w:eastAsia="zh-CN"/>
        </w:rPr>
        <w:t>2.跳大绳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比赛人员及分组：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8人（五男三女）</w:t>
      </w:r>
    </w:p>
    <w:p>
      <w:pPr>
        <w:ind w:firstLine="56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比赛距离：篮球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半场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比赛规则：</w:t>
      </w:r>
    </w:p>
    <w:p>
      <w:pPr>
        <w:pStyle w:val="7"/>
        <w:numPr>
          <w:ilvl w:val="0"/>
          <w:numId w:val="3"/>
        </w:num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两名同学摇绳，其余同学列队需从绳的一侧跳至另一侧，跳过的同学在同侧另一端排队，循环接替（“8”字形）；</w:t>
      </w:r>
    </w:p>
    <w:p>
      <w:pPr>
        <w:pStyle w:val="7"/>
        <w:numPr>
          <w:ilvl w:val="0"/>
          <w:numId w:val="3"/>
        </w:num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每次跳的人数为1人，若有人在跳的过程中失误致使摇绳中断，则不记为通过，失误同学紧跟上一同学，比赛继续进行；</w:t>
      </w:r>
    </w:p>
    <w:p>
      <w:pPr>
        <w:pStyle w:val="7"/>
        <w:numPr>
          <w:ilvl w:val="0"/>
          <w:numId w:val="3"/>
        </w:num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跳长绳比赛规定时间为3分钟，以成功跳过的人次多少排名计分。</w:t>
      </w:r>
    </w:p>
    <w:p>
      <w:pPr>
        <w:ind w:firstLine="42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3.滚雪球</w:t>
      </w:r>
    </w:p>
    <w:p>
      <w:p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比赛人员及分组：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出8名队员（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四男四女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比赛距离：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篮球场纵向全场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（1）每班8人纵队排在起点线上，发令后，各队第一位迅速向前跑去，绕过终点标志物跑回起点，与第二位两人手拉手再迅速跑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向终点，折转后返回起点，再拉第三位的手变成三人手拉手向前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跑……依次类推，直到整个队伍手拉手跑完为止。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（2）返回起点的人必须手拉手绕过起点、终点的折转标志物才能向前跑。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（3）跑动中不限制队伍的排法，但必须是手拉手，不得脱手，每次犯规总时间加5秒。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（4）全队人员（8人）全部超过起点才算全部到达。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8"/>
          <w:szCs w:val="28"/>
          <w:lang w:val="en-US" w:eastAsia="zh-CN"/>
        </w:rPr>
        <w:t>4.定点投篮</w:t>
      </w:r>
    </w:p>
    <w:p>
      <w:pPr>
        <w:numPr>
          <w:ilvl w:val="0"/>
          <w:numId w:val="0"/>
        </w:numPr>
        <w:ind w:right="26" w:rightChars="0" w:firstLine="420" w:firstLineChars="0"/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比赛人员及分组：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每班出5人（三男两女）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比赛场地：篮球场半场</w:t>
      </w:r>
    </w:p>
    <w:p>
      <w:pPr>
        <w:numPr>
          <w:ilvl w:val="0"/>
          <w:numId w:val="0"/>
        </w:numPr>
        <w:ind w:right="26" w:rightChars="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  <w:t xml:space="preserve">    比赛规则：</w:t>
      </w:r>
    </w:p>
    <w:p>
      <w:pPr>
        <w:numPr>
          <w:ilvl w:val="0"/>
          <w:numId w:val="0"/>
        </w:numPr>
        <w:ind w:right="26" w:rightChars="0"/>
        <w:jc w:val="both"/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  <w:t xml:space="preserve">    参赛者需要在相同的三个地点（男女地点不一致）进行投篮，投中数最多的获得比赛的胜利，若有多组投中数一样多的则并列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  <w:t xml:space="preserve"> 排名。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5.七人八足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比赛人员及分组：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每队出7名队员（四男三女）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比赛距离：篮球场横向两个场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比赛规则：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（1）每队7人排成一排，用布条将腿部绑牢固。裁判发令后，7人同时启动，当7人全部到达终点，比赛结束，停止计时；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（2）比赛前助裁检查好布条，比赛过程中若布条脱落，需重新开始，否则该队最终成绩加10秒；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（3）只有当7人全部到达终点线后，方可认为达到终点，裁判宣布比赛结束；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（4）第一组比赛完成后，第二组应该提前系好布条。第三组用第一组的布条。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2"/>
          <w:sz w:val="28"/>
          <w:szCs w:val="28"/>
          <w:lang w:val="en-US" w:eastAsia="zh-CN"/>
        </w:rPr>
        <w:t>6.拔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河</w:t>
      </w:r>
    </w:p>
    <w:p>
      <w:pPr>
        <w:numPr>
          <w:ilvl w:val="0"/>
          <w:numId w:val="0"/>
        </w:numPr>
        <w:ind w:firstLine="56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项目介绍：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拔河趣味运动项目是目前最为常规的趣味运动会项目，拔河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是一种力量的对抗，也是一种力学的比赛，更是团队力量的真实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体现。</w:t>
      </w:r>
    </w:p>
    <w:p>
      <w:p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比赛人员及分组：</w:t>
      </w:r>
      <w:bookmarkStart w:id="0" w:name="_GoBack"/>
      <w:bookmarkEnd w:id="0"/>
    </w:p>
    <w:p>
      <w:p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出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名队员（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女生至少5名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</w:p>
    <w:p>
      <w:pPr>
        <w:ind w:firstLine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比赛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地点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：篮球场</w:t>
      </w:r>
    </w:p>
    <w:p>
      <w:pPr>
        <w:numPr>
          <w:ilvl w:val="0"/>
          <w:numId w:val="0"/>
        </w:numPr>
        <w:ind w:firstLine="420" w:firstLineChars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比赛规则：</w:t>
      </w: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 比赛分三个大组进行，每组四个班级两两比赛，胜者得两分，负者得一分，每组得分最多的班级进入决赛，若分数相同进行加时赛，加时赛不计分。进入决赛的班级比赛规则同分组赛。</w:t>
      </w: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bCs/>
          <w:color w:val="00000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8"/>
          <w:szCs w:val="28"/>
          <w:lang w:val="en-US" w:eastAsia="zh-CN"/>
        </w:rPr>
        <w:t>附表2:</w:t>
      </w:r>
    </w:p>
    <w:tbl>
      <w:tblPr>
        <w:tblStyle w:val="5"/>
        <w:tblW w:w="832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6"/>
        <w:gridCol w:w="1095"/>
        <w:gridCol w:w="1022"/>
        <w:gridCol w:w="1023"/>
        <w:gridCol w:w="1024"/>
        <w:gridCol w:w="1023"/>
        <w:gridCol w:w="1022"/>
        <w:gridCol w:w="10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75" w:hRule="atLeast"/>
        </w:trPr>
        <w:tc>
          <w:tcPr>
            <w:tcW w:w="8329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373737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373737"/>
                <w:kern w:val="0"/>
                <w:sz w:val="24"/>
                <w:szCs w:val="24"/>
                <w:u w:val="none"/>
                <w:lang w:val="en-US" w:eastAsia="zh-CN" w:bidi="ar"/>
              </w:rPr>
              <w:t>齐鲁工业大学首届“班级文化节”之班级趣味运动会报名表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参赛学院（部）：</w:t>
            </w:r>
          </w:p>
        </w:tc>
        <w:tc>
          <w:tcPr>
            <w:tcW w:w="306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学院负责人：</w:t>
            </w:r>
          </w:p>
        </w:tc>
        <w:tc>
          <w:tcPr>
            <w:tcW w:w="306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联系方式：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  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班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级：</w:t>
            </w:r>
          </w:p>
        </w:tc>
        <w:tc>
          <w:tcPr>
            <w:tcW w:w="306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班级负责人：</w:t>
            </w:r>
          </w:p>
        </w:tc>
        <w:tc>
          <w:tcPr>
            <w:tcW w:w="306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联系方式：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姜太公钓鱼（8人）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0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204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跳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（8人）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0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204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滚雪球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10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定点投篮（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83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七人八足（7人）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负责人：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联系方式：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" w:hRule="atLeast"/>
        </w:trPr>
        <w:tc>
          <w:tcPr>
            <w:tcW w:w="21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备注：每人最多报除拔河外的两个项目，具体男女人数详见比赛规则。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9346083">
    <w:nsid w:val="56FBDAA3"/>
    <w:multiLevelType w:val="singleLevel"/>
    <w:tmpl w:val="56FBDAA3"/>
    <w:lvl w:ilvl="0" w:tentative="1">
      <w:start w:val="1"/>
      <w:numFmt w:val="decimal"/>
      <w:suff w:val="nothing"/>
      <w:lvlText w:val="（%1）"/>
      <w:lvlJc w:val="left"/>
    </w:lvl>
  </w:abstractNum>
  <w:abstractNum w:abstractNumId="1459383971">
    <w:nsid w:val="56FC6EA3"/>
    <w:multiLevelType w:val="singleLevel"/>
    <w:tmpl w:val="56FC6EA3"/>
    <w:lvl w:ilvl="0" w:tentative="1">
      <w:start w:val="7"/>
      <w:numFmt w:val="chineseCounting"/>
      <w:suff w:val="nothing"/>
      <w:lvlText w:val="%1、"/>
      <w:lvlJc w:val="left"/>
    </w:lvl>
  </w:abstractNum>
  <w:abstractNum w:abstractNumId="1459383707">
    <w:nsid w:val="56FC6D9B"/>
    <w:multiLevelType w:val="singleLevel"/>
    <w:tmpl w:val="56FC6D9B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459383707"/>
  </w:num>
  <w:num w:numId="2">
    <w:abstractNumId w:val="1459383971"/>
  </w:num>
  <w:num w:numId="3">
    <w:abstractNumId w:val="14593460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F4D02"/>
    <w:rsid w:val="1CF64A7B"/>
    <w:rsid w:val="227C505C"/>
    <w:rsid w:val="27996F7A"/>
    <w:rsid w:val="27B106C3"/>
    <w:rsid w:val="2CDE0D0E"/>
    <w:rsid w:val="352A2882"/>
    <w:rsid w:val="37493776"/>
    <w:rsid w:val="3E8E7545"/>
    <w:rsid w:val="3EBA4CB2"/>
    <w:rsid w:val="41C6243F"/>
    <w:rsid w:val="453F2D50"/>
    <w:rsid w:val="4AFE53D2"/>
    <w:rsid w:val="50FE2278"/>
    <w:rsid w:val="5BDD1578"/>
    <w:rsid w:val="5C202948"/>
    <w:rsid w:val="67E314FA"/>
    <w:rsid w:val="6E41452B"/>
    <w:rsid w:val="7F0518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656565"/>
      <w:sz w:val="18"/>
      <w:szCs w:val="18"/>
      <w:u w:val="none"/>
      <w:vertAlign w:val="baseline"/>
    </w:r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8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dcterms:modified xsi:type="dcterms:W3CDTF">2016-03-31T00:29:03Z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